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90287B" w14:textId="77777777" w:rsidR="00D42899" w:rsidRDefault="0082017F">
      <w:r w:rsidRPr="0082017F">
        <w:drawing>
          <wp:inline distT="0" distB="0" distL="0" distR="0" wp14:anchorId="75985C26" wp14:editId="7114201A">
            <wp:extent cx="5943600" cy="78562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85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428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17F"/>
    <w:rsid w:val="0082017F"/>
    <w:rsid w:val="00D42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C0B53"/>
  <w15:chartTrackingRefBased/>
  <w15:docId w15:val="{41C9EECB-8383-4664-A635-5421879EB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Lapel, Emily - CC Legislative Policy Analyst</dc:creator>
  <cp:keywords/>
  <dc:description/>
  <cp:lastModifiedBy>Lapel, Emily - CC Legislative Policy Analyst</cp:lastModifiedBy>
  <cp:revision>1</cp:revision>
  <dcterms:created xsi:type="dcterms:W3CDTF">2020-05-08T15:06:00Z</dcterms:created>
  <dcterms:modified xsi:type="dcterms:W3CDTF">2020-05-08T15:07:00Z</dcterms:modified>
</cp:coreProperties>
</file>